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2" w:rsidRPr="006024A2" w:rsidRDefault="000037F3" w:rsidP="006024A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Миякинский сельсовет муниципального района Миякинский район Республики Башкортостан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0037F3" w:rsidP="006024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keepNext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4A2" w:rsidRPr="006024A2" w:rsidRDefault="006024A2" w:rsidP="00602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бюджетного прогноза</w:t>
      </w:r>
      <w:bookmarkEnd w:id="0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AC4A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период до 20</w:t>
      </w:r>
      <w:r w:rsidR="007832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 Бюджетного кодекса Российской Федерации,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№_______</w:t>
      </w:r>
      <w:r w:rsidR="00D2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  </w:t>
      </w:r>
    </w:p>
    <w:p w:rsidR="0065527E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0037F3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024A2" w:rsidRPr="006024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прилагаемый бюджетный прогноз 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Миякинский 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 на период до 20</w:t>
      </w:r>
      <w:r w:rsidR="006552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37B" w:rsidRDefault="006024A2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7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6024A2" w:rsidRDefault="00D7737B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024A2"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7E" w:rsidRPr="006024A2" w:rsidRDefault="0065527E" w:rsidP="0065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Pr="006024A2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737B" w:rsidRDefault="00D7737B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4A2" w:rsidRPr="006024A2" w:rsidRDefault="0065527E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МР 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«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на период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20</w:t>
      </w:r>
      <w:r w:rsidR="00655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A18" w:rsidRDefault="0065527E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– Бюджетный прогноз) разработан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муниципального района Миякинский район Республики Башкортостан от _____________ №_______  «Об утверждении Порядка разработки и утверждения бюджетного прогноза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97A18" w:rsidRP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 сельсовет  муниципального района Миякинский район Республики Башкортостан»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6024A2" w:rsidRPr="006024A2" w:rsidRDefault="006024A2" w:rsidP="00597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период до 20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также предельные объемы расходов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97A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финансовое обеспечение муниципальных программ на период их реализации. </w:t>
      </w:r>
      <w:proofErr w:type="gramEnd"/>
    </w:p>
    <w:p w:rsidR="006024A2" w:rsidRPr="006024A2" w:rsidRDefault="006024A2" w:rsidP="006024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долгосрочной перспективе, повышению способности бюджета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справляться с временными макроэкономическими колебаниями.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формированию Бюджетного прогноза во многом обусловлены итогами реализации бюджетной политики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 2019 год (Приложение № 1).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Несмотря на всю сложность ситуации и нестабильность, благодаря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принятым мерам по повышению устойчивости экономики удалось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исполнение бюджета 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по доходам выше утвержденного плана.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13519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за 2019 год поступило налоговых и неналоговых доходов </w:t>
      </w:r>
      <w:r w:rsidR="00FA34AB">
        <w:rPr>
          <w:rFonts w:ascii="Times New Roman" w:eastAsia="Times New Roman" w:hAnsi="Times New Roman" w:cs="Times New Roman"/>
          <w:sz w:val="24"/>
          <w:szCs w:val="24"/>
        </w:rPr>
        <w:t>9785,1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тыс. рублей, что составило </w:t>
      </w:r>
      <w:r w:rsidR="00FA34AB">
        <w:rPr>
          <w:rFonts w:ascii="Times New Roman" w:eastAsia="Times New Roman" w:hAnsi="Times New Roman" w:cs="Times New Roman"/>
          <w:sz w:val="24"/>
          <w:szCs w:val="24"/>
        </w:rPr>
        <w:t>130,8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процента к плану.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бюджетных средств в 2019 году производилось исходя из обеспечения приоритетности социально-значимых расходных обязательств. Расходы бюджета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составили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71109,4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Итоги исполнения бюджета </w:t>
      </w:r>
      <w:r w:rsidR="00D77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2019 год позволили обеспечить своевременную выплату заработной платы работникам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финансирование социально-значимых расходных обязательств в полном объеме.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муниципального долга </w:t>
      </w:r>
      <w:r w:rsidR="001351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итогам 2019 года составил 0</w:t>
      </w:r>
      <w:r w:rsidRPr="006024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6024A2" w:rsidRPr="006024A2" w:rsidRDefault="006024A2" w:rsidP="006024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>В текущем году продолжается работа по развитию доходной части бюджета за счет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повышения налогооблагаемой базы, эффективности использования земли и имущества, легализации занятости, совершенствования налогового законодательства, задействования всех внутренних резервов.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устойчивости и сбалансированности бюджетной системы,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жизни населения и рост его благосостояния является основной целью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налоговой, бюджетной и долговой политики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долгосрочном периоде. 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ewtonC" w:eastAsia="Times New Roman" w:hAnsi="NewtonC" w:cs="Times New Roman"/>
          <w:sz w:val="24"/>
          <w:szCs w:val="24"/>
        </w:rPr>
      </w:pPr>
      <w:r w:rsidRPr="006024A2">
        <w:rPr>
          <w:rFonts w:ascii="NewtonC" w:eastAsia="Times New Roman" w:hAnsi="NewtonC" w:cs="Times New Roman"/>
          <w:sz w:val="24"/>
          <w:szCs w:val="24"/>
        </w:rPr>
        <w:t xml:space="preserve">Приоритетами налоговой политики </w:t>
      </w:r>
      <w:r w:rsidR="00597A18">
        <w:rPr>
          <w:rFonts w:ascii="NewtonC" w:eastAsia="Times New Roman" w:hAnsi="NewtonC" w:cs="Times New Roman"/>
          <w:sz w:val="24"/>
          <w:szCs w:val="24"/>
        </w:rPr>
        <w:t>сельского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поселения на период до 20</w:t>
      </w:r>
      <w:r w:rsidR="00C46B15">
        <w:rPr>
          <w:rFonts w:ascii="NewtonC" w:eastAsia="Times New Roman" w:hAnsi="NewtonC" w:cs="Times New Roman"/>
          <w:sz w:val="24"/>
          <w:szCs w:val="24"/>
        </w:rPr>
        <w:t>26</w:t>
      </w:r>
      <w:r w:rsidRPr="006024A2">
        <w:rPr>
          <w:rFonts w:ascii="NewtonC" w:eastAsia="Times New Roman" w:hAnsi="NewtonC" w:cs="Times New Roman"/>
          <w:sz w:val="24"/>
          <w:szCs w:val="24"/>
        </w:rPr>
        <w:t xml:space="preserve"> года определены сохранение преемственности в достижении поставленных ранее целей и задач, предусматривающих повышение эффективности налоговой системы для обеспечения заданных темпов экономического роста, стимулирования инвестиционной и инновационной активности в условиях поддержания сложившегося уровня налоговой нагрузки.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Будут продолжены мероприятия по развитию доходной базы </w:t>
      </w:r>
      <w:r w:rsidR="00C46B15">
        <w:rPr>
          <w:rFonts w:ascii="Times New Roman" w:eastAsia="Calibri" w:hAnsi="Times New Roman" w:cs="Arial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Arial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Calibri" w:hAnsi="Times New Roman" w:cs="Arial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6024A2">
        <w:rPr>
          <w:rFonts w:ascii="Times New Roman" w:eastAsia="Calibri" w:hAnsi="Times New Roman" w:cs="Arial"/>
          <w:sz w:val="24"/>
          <w:szCs w:val="24"/>
          <w:lang w:eastAsia="ru-RU"/>
        </w:rPr>
        <w:t xml:space="preserve">на основе факторного анализа, регулярной оценке внутренних и внешних рисков развития экономики,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совершенствованию порядка урегулирования задолженности по налогам и сборам, сокращению возможностей уклонения от уплаты налогов.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прогнозируемом периоде доходы бюджета 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Республики Башкортостан определяются исходя из оценки основных параметров социально-экономического развития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Республики Башкортостан на период до 20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A45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с учетом 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сохранения основных параметров налогообложения секторов экономики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. В целом политика по формированию доходов бюджета основывается на системном подходе с использованием механизмов: совершенствования законодательства по налоговым и неналоговым доходам; оценки эффективности льгот; установления справедливого налогообложения имущества, повышения эффективности использо</w:t>
      </w:r>
      <w:r w:rsidR="00CE0A87">
        <w:rPr>
          <w:rFonts w:ascii="Times New Roman" w:eastAsia="Calibri" w:hAnsi="Times New Roman" w:cs="Times New Roman"/>
          <w:sz w:val="24"/>
          <w:szCs w:val="24"/>
          <w:lang w:eastAsia="ru-RU"/>
        </w:rPr>
        <w:t>вания муниципального имущества, задействования внутренних резервов.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сбалансированности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предусматривается дальнейшее осуществление комплекса мер по мобилизации доходов в бюджет.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до 20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основные доходные источники бюджета </w:t>
      </w:r>
      <w:r w:rsidR="00C4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сохранятся: налог на доходы физических лиц, налоги на имущество.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необходимость определения долгосрочной динамики бюджетных параметров при различных макроэкономических сценариях, инструментах налогово-бюджетной политики предполагает активное развитие долгосрочного бюджетного прогнозирования.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Важнейшими задачами станут создание налоговых стимулов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для экономического роста и повышение справедливости налоговой системы.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обеспечения стабильных финансовых основ развития общества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экономики</w:t>
      </w:r>
      <w:r w:rsidR="00C46B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 будет продолжена работа по повышению роли имущественных налогов, совершенствованию специальных налоговых режимов, повышению качества налогового контроля.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Постоянно будут осуществляться мероприятия, направленные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увеличение поступлений налоговых и неналоговых доходов бюджета </w:t>
      </w:r>
      <w:r w:rsidR="009E3D2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Башкортостан.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приоритетах долгосрочной бюджетной политики 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сохраняется обеспечение д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олгосрочной стабильности  местного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9E3D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условия для устойчивого экономического роста, а также безусловное соблюдение требований и ограничений бюджетного законодательства, исполнение принятых расходных обязательств наиболее эффективным способом, мобилизация внутренних источников, дальнейший поиск неэффективных затрат, более четкая увязка бюджетных расходов и повышение их влияния на</w:t>
      </w:r>
      <w:proofErr w:type="gramEnd"/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установленных целей государственной политики.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дальнейшее совершенствование перечня и структур муниципальных программ </w:t>
      </w:r>
      <w:r w:rsidR="009E3D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повышение эффективности использования муниципального имущества;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проведение инвентаризации финансового обеспечения деятельности 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поселения, расширение сферы применения натуральных и финансовых норм (нормативов) обеспечения их функционирования;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совершенствование процедур предварительного и последующего контроля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в области закупок;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улучшение качества финансового менеджмента;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их эффективности и результативности. </w:t>
      </w:r>
    </w:p>
    <w:p w:rsidR="006024A2" w:rsidRPr="006024A2" w:rsidRDefault="006024A2" w:rsidP="006024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Учитывая соответствующие решения в сфере налоговой, бюджетной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и долговой </w:t>
      </w:r>
      <w:proofErr w:type="gramStart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политики на</w:t>
      </w:r>
      <w:proofErr w:type="gramEnd"/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долгосрочный период, Бюджетный прогноз разработан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 xml:space="preserve">на основании показателей прогноза социально-экономического развития  </w:t>
      </w:r>
      <w:r w:rsidR="0041678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Республики Башкортостан на период до 20</w:t>
      </w:r>
      <w:r w:rsidR="0037660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года.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Расходы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определяются исходя из оценки доходов до 20</w:t>
      </w:r>
      <w:r w:rsidR="00376603">
        <w:rPr>
          <w:rFonts w:ascii="Times New Roman" w:eastAsia="Calibri" w:hAnsi="Times New Roman" w:cs="Times New Roman"/>
          <w:sz w:val="24"/>
          <w:szCs w:val="24"/>
        </w:rPr>
        <w:t>26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года с учетом ограничения размера дефицита бюджета и прогнозируемого объема расходных обязательств муниципальных образований согласно законодательству Российской Федерации и Республики Башкортостан. </w:t>
      </w:r>
    </w:p>
    <w:p w:rsidR="006024A2" w:rsidRPr="006024A2" w:rsidRDefault="006024A2" w:rsidP="006024A2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Таким образом, базовой предпосылкой для обеспечения сбалансированности бюджета </w:t>
      </w:r>
      <w:r w:rsidR="00376603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Calibri" w:hAnsi="Times New Roman" w:cs="Times New Roman"/>
          <w:sz w:val="24"/>
          <w:szCs w:val="24"/>
        </w:rPr>
        <w:t>Республики Башкортостан является реализация комплекса мер по оптимизации расходных обязательств.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прогнозом устанавливаются предельные объемы расходов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реализацию каждой из муниципальных программ, утвержденных в установленном порядке. 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объемы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по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расходам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3766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определяются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со сроками реализации утвержденных муниципальных программ (Приложение № 2).                                              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2019 года.</w:t>
      </w:r>
    </w:p>
    <w:p w:rsidR="006024A2" w:rsidRPr="006024A2" w:rsidRDefault="00F313AF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могут быть ежегодно увеличены исходя из общего объема ресурсов бюджета </w:t>
      </w:r>
      <w:r w:rsidR="00597A18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024A2" w:rsidRPr="006024A2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увеличение действующих и принятие новых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</w:t>
      </w:r>
      <w:proofErr w:type="gramStart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формировании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на очередной финансовый год и плановый период расходы бюджета, включая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объемы расходов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gramEnd"/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="006024A2"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 </w:t>
      </w:r>
      <w:r w:rsidR="006024A2"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по их оптимизации.</w:t>
      </w:r>
    </w:p>
    <w:p w:rsidR="006024A2" w:rsidRPr="006024A2" w:rsidRDefault="006024A2" w:rsidP="00602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–20</w:t>
      </w:r>
      <w:r w:rsidR="00F313A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прогнозируется одинаково в размере 0 рублей.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Существенным потенциалом обеспечения стабильной долгосрочной бюджетной устойчивости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избежания</w:t>
      </w:r>
      <w:proofErr w:type="spellEnd"/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в условиях экономических дисбалансов обострения проблем, уже имеющихся в бюджетной системе, является возможность оценки и создание условий для минимизации рисков несбалансированности бюджетных параметров.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 xml:space="preserve">Влияние на сбалансированность бюджетов могут оказать инфляционные риски, возможное проявление кризисных явлений в экономике. </w:t>
      </w:r>
    </w:p>
    <w:p w:rsidR="006024A2" w:rsidRPr="006024A2" w:rsidRDefault="006024A2" w:rsidP="00602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</w:rPr>
        <w:t>В целях повышения эффективности администрирования как налоговых, так и неналоговых доходов, в том числе доходов от оказания муниципальных услуг, предстоит сформировать нормативно-правовую базу, регламентирующую создание и ведение реестра доходных источников бюджетов.</w:t>
      </w:r>
    </w:p>
    <w:p w:rsidR="006024A2" w:rsidRPr="006024A2" w:rsidRDefault="006024A2" w:rsidP="0060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Реализация мер, направленных на минимизацию перечисленных рисков, позволит создать надежную основу для обеспечения устойчивости </w:t>
      </w:r>
      <w:r w:rsidRPr="006024A2">
        <w:rPr>
          <w:rFonts w:ascii="Times New Roman" w:eastAsia="Calibri" w:hAnsi="Times New Roman" w:cs="Times New Roman"/>
          <w:sz w:val="24"/>
          <w:szCs w:val="24"/>
        </w:rPr>
        <w:br/>
        <w:t xml:space="preserve">и бюджетной сбалансированности, а также поддерживать благоприятные условия для экономического роста и притока инвестиций, соответственно, роста доходного потенциала бюджета </w:t>
      </w:r>
      <w:r w:rsidR="00F313AF">
        <w:rPr>
          <w:rFonts w:ascii="Times New Roman" w:eastAsia="Calibri" w:hAnsi="Times New Roman" w:cs="Times New Roman"/>
          <w:sz w:val="24"/>
          <w:szCs w:val="24"/>
        </w:rPr>
        <w:t>с</w:t>
      </w:r>
      <w:r w:rsidR="00597A18">
        <w:rPr>
          <w:rFonts w:ascii="Times New Roman" w:eastAsia="Calibri" w:hAnsi="Times New Roman" w:cs="Times New Roman"/>
          <w:sz w:val="24"/>
          <w:szCs w:val="24"/>
        </w:rPr>
        <w:t>ельского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r w:rsidR="00FA34AB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r w:rsidR="00597A18">
        <w:rPr>
          <w:rFonts w:ascii="Times New Roman" w:eastAsia="Calibri" w:hAnsi="Times New Roman" w:cs="Times New Roman"/>
          <w:sz w:val="24"/>
          <w:szCs w:val="24"/>
        </w:rPr>
        <w:t>Миякинский</w:t>
      </w:r>
      <w:r w:rsidRPr="006024A2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6024A2" w:rsidRPr="006024A2" w:rsidRDefault="006024A2" w:rsidP="006024A2">
      <w:pPr>
        <w:tabs>
          <w:tab w:val="left" w:pos="6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24A2" w:rsidRPr="006024A2" w:rsidSect="0037660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Calibri" w:eastAsia="Calibri" w:hAnsi="Calibri" w:cs="Calibri"/>
          <w:szCs w:val="28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к бюджетному прогнозу 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</w:rPr>
      </w:pPr>
    </w:p>
    <w:p w:rsidR="006024A2" w:rsidRPr="006024A2" w:rsidRDefault="006024A2" w:rsidP="006024A2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024A2" w:rsidRPr="006024A2" w:rsidRDefault="006024A2" w:rsidP="006024A2">
      <w:pPr>
        <w:spacing w:after="0" w:line="240" w:lineRule="auto"/>
        <w:ind w:left="3123" w:right="154" w:hanging="91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характеристик бюджета 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r w:rsidR="00597A1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РБ на период до 20</w:t>
      </w:r>
      <w:r w:rsidR="00F313AF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6024A2" w:rsidRPr="006024A2" w:rsidRDefault="006024A2" w:rsidP="006024A2">
      <w:pPr>
        <w:spacing w:after="0" w:line="240" w:lineRule="auto"/>
        <w:ind w:left="3123" w:right="154" w:hanging="9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</w:p>
    <w:tbl>
      <w:tblPr>
        <w:tblW w:w="18341" w:type="dxa"/>
        <w:tblInd w:w="142" w:type="dxa"/>
        <w:tblLayout w:type="fixed"/>
        <w:tblCellMar>
          <w:top w:w="7" w:type="dxa"/>
          <w:right w:w="104" w:type="dxa"/>
        </w:tblCellMar>
        <w:tblLook w:val="04A0" w:firstRow="1" w:lastRow="0" w:firstColumn="1" w:lastColumn="0" w:noHBand="0" w:noVBand="1"/>
      </w:tblPr>
      <w:tblGrid>
        <w:gridCol w:w="2518"/>
        <w:gridCol w:w="1276"/>
        <w:gridCol w:w="992"/>
        <w:gridCol w:w="1559"/>
        <w:gridCol w:w="1276"/>
        <w:gridCol w:w="1276"/>
        <w:gridCol w:w="1417"/>
        <w:gridCol w:w="1559"/>
        <w:gridCol w:w="1560"/>
        <w:gridCol w:w="940"/>
        <w:gridCol w:w="992"/>
        <w:gridCol w:w="992"/>
        <w:gridCol w:w="992"/>
        <w:gridCol w:w="992"/>
      </w:tblGrid>
      <w:tr w:rsidR="00F313AF" w:rsidRPr="006024A2" w:rsidTr="00F313AF">
        <w:trPr>
          <w:gridAfter w:val="5"/>
          <w:wAfter w:w="4908" w:type="dxa"/>
          <w:trHeight w:val="56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</w:p>
          <w:p w:rsidR="00F313AF" w:rsidRPr="006024A2" w:rsidRDefault="00F313AF" w:rsidP="006024A2">
            <w:pPr>
              <w:spacing w:after="0" w:line="240" w:lineRule="auto"/>
              <w:ind w:left="401" w:hanging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</w:t>
            </w:r>
          </w:p>
          <w:p w:rsidR="00F313AF" w:rsidRPr="006024A2" w:rsidRDefault="00F313AF" w:rsidP="006024A2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  <w:p w:rsidR="00F313AF" w:rsidRPr="006024A2" w:rsidRDefault="00F313AF" w:rsidP="006024A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ДОХОДЫ,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73368,9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50180,1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10827,2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11066,2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12020,2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13041,2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14153,2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14826,2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12365,0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13477,0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14150,0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195,0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56326,7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</w:tr>
      <w:tr w:rsidR="00D04C24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24" w:rsidRDefault="00FA34A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2C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24" w:rsidRPr="006024A2" w:rsidRDefault="00D04C24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313AF" w:rsidRPr="006024A2" w:rsidTr="00F313AF">
        <w:trPr>
          <w:gridAfter w:val="5"/>
          <w:wAfter w:w="4908" w:type="dxa"/>
          <w:trHeight w:val="3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РАСХОДЫ, 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71109,4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51980,7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11066,2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12020,2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13041,2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14153,2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14826,2</w:t>
            </w:r>
          </w:p>
        </w:tc>
      </w:tr>
      <w:tr w:rsidR="00F313AF" w:rsidRPr="006024A2" w:rsidTr="00F313AF">
        <w:trPr>
          <w:gridAfter w:val="5"/>
          <w:wAfter w:w="4908" w:type="dxa"/>
          <w:trHeight w:val="28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6302,8</w:t>
            </w:r>
          </w:p>
        </w:tc>
      </w:tr>
      <w:tr w:rsidR="00F313AF" w:rsidRPr="006024A2" w:rsidTr="00F313AF">
        <w:trPr>
          <w:trHeight w:val="28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0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70,6</w:t>
            </w: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70B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42993,1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12920,5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481,2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3AF" w:rsidRPr="006024A2" w:rsidRDefault="00B9670B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  <w:r w:rsidR="00F313AF"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18151,1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29164,2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7117,3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7280,3</w:t>
            </w:r>
          </w:p>
        </w:tc>
      </w:tr>
      <w:tr w:rsidR="00F313AF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AF" w:rsidRPr="006024A2" w:rsidRDefault="00F313AF" w:rsidP="006024A2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AF" w:rsidRPr="006024A2" w:rsidRDefault="00F313AF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737F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F1" w:rsidRDefault="00D737F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F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9670B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0B" w:rsidRPr="006024A2" w:rsidRDefault="00B9670B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0B" w:rsidRPr="006024A2" w:rsidRDefault="00B9670B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Условно-утверждённые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691,3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D737F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-1800,6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Pr="006024A2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  <w:tr w:rsidR="002C2C71" w:rsidRPr="006024A2" w:rsidTr="00F313AF">
        <w:trPr>
          <w:gridAfter w:val="5"/>
          <w:wAfter w:w="4908" w:type="dxa"/>
          <w:trHeight w:val="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1" w:rsidRDefault="002C2C71" w:rsidP="00B9670B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муниципального долга на 1 января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71" w:rsidRDefault="002C2C71" w:rsidP="006024A2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Pr="006024A2" w:rsidRDefault="006024A2" w:rsidP="006024A2">
      <w:pPr>
        <w:spacing w:after="0" w:line="240" w:lineRule="atLeast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4A2" w:rsidRDefault="006024A2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6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313AF" w:rsidRPr="006024A2" w:rsidRDefault="00F313AF" w:rsidP="00F313AF">
      <w:pPr>
        <w:widowControl w:val="0"/>
        <w:autoSpaceDE w:val="0"/>
        <w:autoSpaceDN w:val="0"/>
        <w:spacing w:after="0" w:line="240" w:lineRule="exact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бюджетному прогнозу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FA3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на период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02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13AF" w:rsidRPr="00F313AF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Предельные расходы на реализацию муниципальных программ сельского поселения </w:t>
      </w:r>
      <w:r w:rsidR="00FA34AB">
        <w:rPr>
          <w:rFonts w:ascii="Times New Roman" w:eastAsia="Calibri" w:hAnsi="Times New Roman" w:cs="Times New Roman"/>
          <w:sz w:val="28"/>
          <w:szCs w:val="28"/>
        </w:rPr>
        <w:t>Миякинский</w:t>
      </w:r>
      <w:r w:rsidRPr="00F313A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F313AF" w:rsidRPr="006024A2" w:rsidRDefault="00F313AF" w:rsidP="00F3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24A2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6024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024A2">
        <w:rPr>
          <w:rFonts w:ascii="Times New Roman" w:eastAsia="Calibri" w:hAnsi="Times New Roman" w:cs="Times New Roman"/>
          <w:sz w:val="24"/>
          <w:szCs w:val="24"/>
        </w:rPr>
        <w:t>ублей</w:t>
      </w:r>
      <w:proofErr w:type="spellEnd"/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417"/>
        <w:gridCol w:w="1276"/>
        <w:gridCol w:w="1276"/>
        <w:gridCol w:w="1276"/>
        <w:gridCol w:w="1275"/>
        <w:gridCol w:w="1276"/>
        <w:gridCol w:w="1559"/>
      </w:tblGrid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2026 год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бюджета</w:t>
            </w:r>
            <w:r w:rsidRPr="006024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71109,4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51980,7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10827,2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11066,2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12020,2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13041,2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14153,2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14826,2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муниципальных программ всего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71109,4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077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11066,2</w:t>
            </w:r>
          </w:p>
        </w:tc>
        <w:tc>
          <w:tcPr>
            <w:tcW w:w="1276" w:type="dxa"/>
          </w:tcPr>
          <w:p w:rsidR="007633B9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01DCA" w:rsidRPr="00D7737B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12020,2</w:t>
            </w:r>
          </w:p>
        </w:tc>
        <w:tc>
          <w:tcPr>
            <w:tcW w:w="1275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01DCA" w:rsidRPr="00D7737B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13041,2</w:t>
            </w:r>
          </w:p>
        </w:tc>
        <w:tc>
          <w:tcPr>
            <w:tcW w:w="1276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01DCA" w:rsidRPr="00D7737B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14153,2</w:t>
            </w:r>
          </w:p>
        </w:tc>
        <w:tc>
          <w:tcPr>
            <w:tcW w:w="1559" w:type="dxa"/>
          </w:tcPr>
          <w:p w:rsidR="00D7737B" w:rsidRDefault="00D7737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01DCA" w:rsidRPr="00D7737B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14826,2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Default="007633B9" w:rsidP="007633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6B3E5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 "Развитие жилищно-коммунального хозяйства сельского поселения </w:t>
            </w:r>
            <w:r w:rsidR="00FA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r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Республики Башкортостан"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22396,9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077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35386,6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1E2B0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  <w:r w:rsidR="009536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1276" w:type="dxa"/>
            <w:vAlign w:val="center"/>
          </w:tcPr>
          <w:p w:rsidR="007633B9" w:rsidRPr="006024A2" w:rsidRDefault="0095362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6139,9</w:t>
            </w:r>
          </w:p>
        </w:tc>
        <w:tc>
          <w:tcPr>
            <w:tcW w:w="1275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6864,4</w:t>
            </w:r>
          </w:p>
        </w:tc>
        <w:tc>
          <w:tcPr>
            <w:tcW w:w="1276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7543,7</w:t>
            </w:r>
          </w:p>
        </w:tc>
        <w:tc>
          <w:tcPr>
            <w:tcW w:w="1559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7714,9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6B3E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«Транспортное развитие сельского поселения </w:t>
            </w:r>
            <w:r w:rsidR="00FA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</w:t>
            </w:r>
            <w:r w:rsid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077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1276" w:type="dxa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1275" w:type="dxa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1276" w:type="dxa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  <w:tc>
          <w:tcPr>
            <w:tcW w:w="1559" w:type="dxa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481,2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муниципальной службы  в администрации сельского поселения </w:t>
            </w:r>
            <w:r w:rsidR="00FA3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Миякинский</w:t>
            </w:r>
            <w:r w:rsidR="006B3E59" w:rsidRPr="006B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Миякинский район  Республики Башкортостан</w:t>
            </w:r>
            <w:r w:rsidRPr="00602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D737F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6195,0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077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C01DCA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1E2B0B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5239,8</w:t>
            </w:r>
          </w:p>
        </w:tc>
        <w:tc>
          <w:tcPr>
            <w:tcW w:w="1276" w:type="dxa"/>
            <w:vAlign w:val="center"/>
          </w:tcPr>
          <w:p w:rsidR="007633B9" w:rsidRPr="006024A2" w:rsidRDefault="0095362E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5399,1</w:t>
            </w:r>
          </w:p>
        </w:tc>
        <w:tc>
          <w:tcPr>
            <w:tcW w:w="1275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5695,6</w:t>
            </w:r>
          </w:p>
        </w:tc>
        <w:tc>
          <w:tcPr>
            <w:tcW w:w="1276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6128,3</w:t>
            </w:r>
          </w:p>
        </w:tc>
        <w:tc>
          <w:tcPr>
            <w:tcW w:w="1559" w:type="dxa"/>
            <w:vAlign w:val="center"/>
          </w:tcPr>
          <w:p w:rsidR="007633B9" w:rsidRPr="006024A2" w:rsidRDefault="00C427A1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6630,1</w:t>
            </w:r>
          </w:p>
        </w:tc>
      </w:tr>
      <w:tr w:rsidR="007633B9" w:rsidRPr="006024A2" w:rsidTr="007633B9">
        <w:tc>
          <w:tcPr>
            <w:tcW w:w="3261" w:type="dxa"/>
            <w:shd w:val="clear" w:color="auto" w:fill="auto"/>
            <w:vAlign w:val="center"/>
          </w:tcPr>
          <w:p w:rsidR="007633B9" w:rsidRPr="006024A2" w:rsidRDefault="007633B9" w:rsidP="004A76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9356CC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33B9" w:rsidRPr="006024A2" w:rsidRDefault="00260776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7633B9" w:rsidRPr="006024A2" w:rsidRDefault="00F01B07" w:rsidP="004A7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F313AF" w:rsidRPr="006024A2" w:rsidRDefault="00F313AF" w:rsidP="00F31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A2" w:rsidRPr="006024A2" w:rsidRDefault="006024A2" w:rsidP="0000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024A2" w:rsidRPr="006024A2" w:rsidSect="00376603">
          <w:pgSz w:w="16838" w:h="11906" w:orient="landscape"/>
          <w:pgMar w:top="567" w:right="1134" w:bottom="993" w:left="1134" w:header="709" w:footer="709" w:gutter="0"/>
          <w:cols w:space="708"/>
          <w:docGrid w:linePitch="381"/>
        </w:sectPr>
      </w:pPr>
    </w:p>
    <w:p w:rsidR="00552086" w:rsidRDefault="00552086" w:rsidP="000037F3"/>
    <w:sectPr w:rsidR="00552086" w:rsidSect="004C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2"/>
    <w:rsid w:val="000037F3"/>
    <w:rsid w:val="00096D1B"/>
    <w:rsid w:val="000B17E9"/>
    <w:rsid w:val="00135196"/>
    <w:rsid w:val="001E2B0B"/>
    <w:rsid w:val="002522C7"/>
    <w:rsid w:val="00260776"/>
    <w:rsid w:val="002C2C71"/>
    <w:rsid w:val="002C4FE0"/>
    <w:rsid w:val="002F23BC"/>
    <w:rsid w:val="00304D4B"/>
    <w:rsid w:val="003662A1"/>
    <w:rsid w:val="00376603"/>
    <w:rsid w:val="00416784"/>
    <w:rsid w:val="004C2CE4"/>
    <w:rsid w:val="005451FE"/>
    <w:rsid w:val="00552086"/>
    <w:rsid w:val="00597A18"/>
    <w:rsid w:val="006024A2"/>
    <w:rsid w:val="00611026"/>
    <w:rsid w:val="0065527E"/>
    <w:rsid w:val="006B3E59"/>
    <w:rsid w:val="006C0D11"/>
    <w:rsid w:val="007633B9"/>
    <w:rsid w:val="0078321C"/>
    <w:rsid w:val="008E0D36"/>
    <w:rsid w:val="008E607A"/>
    <w:rsid w:val="009356CC"/>
    <w:rsid w:val="0095362E"/>
    <w:rsid w:val="009E3D21"/>
    <w:rsid w:val="00A45EB1"/>
    <w:rsid w:val="00A54866"/>
    <w:rsid w:val="00AC4A61"/>
    <w:rsid w:val="00B9670B"/>
    <w:rsid w:val="00C01DCA"/>
    <w:rsid w:val="00C427A1"/>
    <w:rsid w:val="00C467B3"/>
    <w:rsid w:val="00C46B15"/>
    <w:rsid w:val="00CA5403"/>
    <w:rsid w:val="00CD02C8"/>
    <w:rsid w:val="00CE0A87"/>
    <w:rsid w:val="00D04C24"/>
    <w:rsid w:val="00D076E7"/>
    <w:rsid w:val="00D27334"/>
    <w:rsid w:val="00D62AC8"/>
    <w:rsid w:val="00D737F1"/>
    <w:rsid w:val="00D7737B"/>
    <w:rsid w:val="00DF1A06"/>
    <w:rsid w:val="00F01B07"/>
    <w:rsid w:val="00F313AF"/>
    <w:rsid w:val="00F73C5E"/>
    <w:rsid w:val="00FA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MiakiUpr</cp:lastModifiedBy>
  <cp:revision>2</cp:revision>
  <cp:lastPrinted>2020-11-15T09:23:00Z</cp:lastPrinted>
  <dcterms:created xsi:type="dcterms:W3CDTF">2020-12-02T13:05:00Z</dcterms:created>
  <dcterms:modified xsi:type="dcterms:W3CDTF">2020-12-02T13:05:00Z</dcterms:modified>
</cp:coreProperties>
</file>